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186" w:rsidRDefault="00320186">
      <w:pPr>
        <w:pStyle w:val="Standard"/>
        <w:rPr>
          <w:rFonts w:hint="eastAsia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2"/>
      </w:tblGrid>
      <w:tr w:rsidR="00320186">
        <w:tblPrEx>
          <w:tblCellMar>
            <w:top w:w="0" w:type="dxa"/>
            <w:bottom w:w="0" w:type="dxa"/>
          </w:tblCellMar>
        </w:tblPrEx>
        <w:tc>
          <w:tcPr>
            <w:tcW w:w="566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20186" w:rsidRDefault="009038F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Komornik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ądowy przy Sądzie Rejonowym w Kolbuszowej</w:t>
            </w:r>
          </w:p>
          <w:p w:rsidR="00320186" w:rsidRDefault="009038F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Andrzej Zając Kancelaria Komornicza Nr I w Kolbuszowej</w:t>
            </w:r>
          </w:p>
          <w:p w:rsidR="00320186" w:rsidRDefault="009038F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36-100 Kolbuszowa, ul. Jana Pawła II 19/1</w:t>
            </w:r>
          </w:p>
          <w:p w:rsidR="00320186" w:rsidRDefault="009038F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177444688</w:t>
            </w:r>
          </w:p>
          <w:p w:rsidR="00320186" w:rsidRDefault="009038F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W odpowiedzi poda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 xml:space="preserve">ć: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Sygn.akt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Kmp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eastAsia="pl-PL" w:bidi="pl-PL"/>
              </w:rPr>
              <w:t> 15/20</w:t>
            </w:r>
          </w:p>
        </w:tc>
        <w:tc>
          <w:tcPr>
            <w:tcW w:w="42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20186" w:rsidRDefault="009038F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 xml:space="preserve">Kolbuszowa, dnia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22.05.2023 r.</w:t>
            </w:r>
          </w:p>
          <w:p w:rsidR="00320186" w:rsidRDefault="009038F4">
            <w:pPr>
              <w:pStyle w:val="Normal"/>
              <w:tabs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20412"/>
                <w:tab w:val="left" w:pos="30618"/>
              </w:tabs>
              <w:spacing w:before="113"/>
              <w:jc w:val="right"/>
            </w:pPr>
            <w:r>
              <w:rPr>
                <w:rFonts w:ascii="Free 3 of 9 Digit Only" w:hAnsi="Free 3 of 9 Digit Only" w:cs="Free 3 of 9 Digit Only"/>
                <w:color w:val="000000"/>
                <w:sz w:val="40"/>
                <w:szCs w:val="40"/>
                <w:lang w:eastAsia="pl-PL" w:bidi="pl-PL"/>
              </w:rPr>
              <w:t>*0023052200207*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 w:bidi="pl-PL"/>
              </w:rPr>
              <w:br/>
            </w:r>
          </w:p>
        </w:tc>
      </w:tr>
    </w:tbl>
    <w:p w:rsidR="00320186" w:rsidRDefault="00320186">
      <w:pPr>
        <w:pStyle w:val="Normal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20412"/>
          <w:tab w:val="left" w:pos="30618"/>
        </w:tabs>
        <w:rPr>
          <w:rFonts w:ascii="Times New Roman" w:hAnsi="Times New Roman" w:cs="Times New Roman"/>
          <w:color w:val="000000"/>
          <w:sz w:val="20"/>
          <w:szCs w:val="20"/>
          <w:u w:val="single"/>
          <w:lang w:eastAsia="pl-PL" w:bidi="pl-PL"/>
        </w:rPr>
      </w:pPr>
    </w:p>
    <w:p w:rsidR="00320186" w:rsidRDefault="00320186">
      <w:pPr>
        <w:pStyle w:val="Normal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320186" w:rsidRDefault="009038F4">
      <w:pPr>
        <w:pStyle w:val="Normal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 B W I E S Z C Z E N I E</w:t>
      </w:r>
    </w:p>
    <w:p w:rsidR="00320186" w:rsidRDefault="00320186">
      <w:pPr>
        <w:pStyle w:val="Normal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Komornik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ądowy przy Sądzie Rejonowym w Kolbuszowej Andrzej Zając Kancelaria Komornicza Nr I w Kolbuszowej zawiadamia na podstawie art. 953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 związku z art. 955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kpc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, że w dniu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15-09-2023r. o godz. 10:30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ądzie Rejonowym w Kolbuszowej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w sali nr: 115 odbędzie się</w:t>
      </w:r>
    </w:p>
    <w:p w:rsidR="00320186" w:rsidRDefault="003201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20186" w:rsidRDefault="009038F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P I E R W S Z A    L I C Y T A C J A</w:t>
      </w:r>
    </w:p>
    <w:p w:rsidR="00320186" w:rsidRDefault="003201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:rsidR="00320186" w:rsidRDefault="00100C43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nieruchomości,</w:t>
      </w:r>
      <w:r w:rsidR="009038F4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w skład której wchodzi działka nr 371 zabudowana budynkiem mieszkalnym i garażowo – gospodarczym obydwa w </w:t>
      </w:r>
      <w:r w:rsidR="009038F4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trakcie realizacji, położona w Hucie Komorowskiej o pow. 0,6968 ha sklasyfikowana jako R VI-0,1086ha, Lzr-RVI-0,4458ha, B-0,1424ha dla której w Sądzie Rejonowym w Kolbuszowej prowadzona jest Księga Wieczysta </w:t>
      </w:r>
      <w:r w:rsidR="009038F4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 w:rsidR="009038F4"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nr TB1K/00047501/6</w:t>
      </w: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Budynek mieszkalny, jednorod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zinny, parterowy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 poddaszem nieużytkowym, niepodpiwniczony. Powierzchnia użytkowa 72,8m</w:t>
      </w:r>
      <w:proofErr w:type="gramStart"/>
      <w:r>
        <w:rPr>
          <w:rFonts w:ascii="Times New Roman" w:hAnsi="Times New Roman" w:cs="Times New Roman"/>
          <w:color w:val="000000"/>
          <w:position w:val="6"/>
          <w:sz w:val="20"/>
          <w:szCs w:val="20"/>
          <w:lang w:eastAsia="pl-PL" w:bidi="pl-PL"/>
        </w:rPr>
        <w:t>2 .</w:t>
      </w:r>
      <w:proofErr w:type="gramEnd"/>
      <w:r>
        <w:rPr>
          <w:rFonts w:ascii="Times New Roman" w:hAnsi="Times New Roman" w:cs="Times New Roman"/>
          <w:color w:val="000000"/>
          <w:position w:val="6"/>
          <w:sz w:val="20"/>
          <w:szCs w:val="20"/>
          <w:lang w:eastAsia="pl-PL" w:bidi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Stan surowy zamkni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ęty.</w:t>
      </w:r>
    </w:p>
    <w:p w:rsidR="00320186" w:rsidRDefault="009038F4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Budynek gara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żowo – gospodarczy. Wykonano ławy i ściany fundamentowe. Planowany garaż 2 stanowiskowy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 pomieszczenie gospodarcze. Powierzchn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ia zabudowy – 79m2</w:t>
      </w:r>
    </w:p>
    <w:p w:rsidR="00320186" w:rsidRDefault="00320186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stanowi własność Rożnowski Piotr.</w:t>
      </w:r>
    </w:p>
    <w:p w:rsidR="00320186" w:rsidRDefault="00320186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20186" w:rsidRDefault="009038F4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Nieruchomość oszacowana jest na kwotę: 192 000,00 zł.</w:t>
      </w:r>
    </w:p>
    <w:p w:rsidR="00320186" w:rsidRDefault="009038F4">
      <w:pPr>
        <w:pStyle w:val="Normal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Cena wywoławcza w powyższej licytacji wynosi: trzy czwarte wartości oszacowania tj. kwotę: 144 000,00 zł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.</w:t>
      </w: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</w:t>
      </w:r>
    </w:p>
    <w:p w:rsidR="00320186" w:rsidRDefault="00320186">
      <w:pPr>
        <w:pStyle w:val="Normal"/>
        <w:jc w:val="both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Przyst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puj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 do przetar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gu obowi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zany jest 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ł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ć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kojmie w wysoko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ci jednej dziesi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tej cz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ęś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ci sumy oszacowania 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tj. 19 200,00 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ł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 najp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óź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niej w dniu poprzedzaj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ą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cym przetarg na urz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ędowy rachunek komornika w BS O/Kolbuszowa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74918000082001000056560001</w:t>
      </w:r>
      <w:r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ękojmia może być również złożona w książeczce os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zczędnościowej zaopatrzonej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upoważnienie właściciela książeczki do wypłaty całego wkładu stosownie do prawomocnego postanowienia sądu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 utracie rękojmi albo w inny wskazany przez komornika sposób;</w:t>
      </w: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Przy licytacji b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ędą zachowane warunki licytacji, jeżel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i dodatkowym publicznym obwieszczeniem nie będą podane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do wiadomości odmienne warunki.</w:t>
      </w: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W ciągu dwóch tygodni poprzedzających dzień licytacji można oglądać nieruchomość oraz przeglądać protokół opisu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i oszacowania który znajdują się do wglądu w Sądzie Rej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onowym Wydział Cywilny w Kolbuszowej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przy ul. Tyszkiewiczów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4 .</w:t>
      </w:r>
      <w:proofErr w:type="gramEnd"/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 xml:space="preserve">Prawa osób trzecich nie będą przeszkodą do przeprowadzenia licytacji i przysądzenia na własność na rzecz nabywcy bez zastrzeżeń, jeśli osoby te przed rozpoczęciem licytacji nie złożą dowodu, 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że wniosły powództwo o zwolnienie spod egzekucji tej nieruchomości lub innych przedmiotów razem z nią zajętych.</w:t>
      </w:r>
    </w:p>
    <w:p w:rsidR="00320186" w:rsidRDefault="009038F4">
      <w:pPr>
        <w:pStyle w:val="Normal"/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Użytkowanie, służebności i prawa dożywotnika, jeśli nie są ujawnione w księdze wieczystej i nie zostaną zgłoszone najpóźniej na trzy dni przed r</w:t>
      </w:r>
      <w:r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  <w:t>ozpoczęciem licytacji nie będą uwzględniane w dalszym toku egzekucji i wygasną z chwilą uprawomocnienia się postanowienia o przysądzaniu własności.</w:t>
      </w:r>
    </w:p>
    <w:p w:rsidR="00320186" w:rsidRDefault="00320186">
      <w:pPr>
        <w:pStyle w:val="Normal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320186" w:rsidRDefault="00320186">
      <w:pPr>
        <w:pStyle w:val="Standard"/>
        <w:rPr>
          <w:rFonts w:hint="eastAsia"/>
        </w:rPr>
      </w:pPr>
    </w:p>
    <w:sectPr w:rsidR="003201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038F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03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 3 of 9 Digit Only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03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038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0186"/>
    <w:rsid w:val="00100C43"/>
    <w:rsid w:val="00320186"/>
    <w:rsid w:val="009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4282"/>
  <w15:docId w15:val="{9881793C-8C51-40A1-B0E2-3DA436B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pPr>
      <w:widowControl w:val="0"/>
    </w:pPr>
    <w:rPr>
      <w:rFonts w:ascii="Arial" w:eastAsia="Times New Roman" w:hAnsi="Arial"/>
    </w:rPr>
  </w:style>
  <w:style w:type="paragraph" w:customStyle="1" w:styleId="Default">
    <w:name w:val="Default"/>
    <w:basedOn w:val="Normal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Bogdan Wilk</cp:lastModifiedBy>
  <cp:revision>2</cp:revision>
  <dcterms:created xsi:type="dcterms:W3CDTF">2023-06-06T09:07:00Z</dcterms:created>
  <dcterms:modified xsi:type="dcterms:W3CDTF">2023-06-06T09:07:00Z</dcterms:modified>
</cp:coreProperties>
</file>